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b/>
          <w:i w:val="0"/>
          <w:color w:val="1F3352"/>
          <w:sz w:val="44"/>
        </w:rPr>
        <w:t>DISCLOSURE DOCUMENT ANALYSIS</w:t>
      </w:r>
    </w:p>
    <w:p>
      <w:pPr>
        <w:spacing w:after="40"/>
        <w:jc w:val="center"/>
      </w:pPr>
      <w:r>
        <w:rPr>
          <w:b/>
          <w:i w:val="0"/>
          <w:sz w:val="28"/>
        </w:rPr>
        <w:t>653 Rosewood Court, Los Altos, CA 94024</w:t>
      </w:r>
    </w:p>
    <w:p>
      <w:pPr>
        <w:spacing w:after="40"/>
        <w:jc w:val="center"/>
      </w:pPr>
      <w:r>
        <w:rPr>
          <w:b w:val="0"/>
          <w:i/>
          <w:color w:val="555555"/>
          <w:sz w:val="19"/>
        </w:rPr>
        <w:t>APN 189-42-013  |  MLS# ML82055925  |  Listed $3,988,000  |  3bd / 2.5ba / 1,865 sqft / ~0.30–0.38 ac  |  Built 1955</w:t>
      </w:r>
    </w:p>
    <w:p>
      <w:pPr>
        <w:spacing w:after="200"/>
        <w:jc w:val="center"/>
      </w:pPr>
      <w:r>
        <w:rPr>
          <w:b w:val="0"/>
          <w:i/>
          <w:color w:val="555555"/>
          <w:sz w:val="19"/>
        </w:rPr>
        <w:t>Prepared August 1, 2026 — Buyer due-diligence summary based on the full 10-document disclosure package</w:t>
      </w:r>
    </w:p>
    <w:p>
      <w:pPr>
        <w:pStyle w:val="Heading1"/>
      </w:pPr>
      <w:r>
        <w:t>Executive Summary</w:t>
      </w:r>
    </w:p>
    <w:p>
      <w:pPr>
        <w:spacing w:after="120"/>
      </w:pPr>
      <w:r>
        <w:rPr>
          <w:b/>
          <w:i w:val="0"/>
        </w:rPr>
        <w:t xml:space="preserve">This is a trust sale with no Transfer Disclosure Statement. </w:t>
      </w:r>
      <w:r>
        <w:rPr>
          <w:b w:val="0"/>
          <w:i w:val="0"/>
        </w:rPr>
        <w:t>The seller is Jane E. Malmgren-Grant, Trustee of the Malmgren Family Revocable Trust, and has filed an Exempt Seller Disclosure (ESD) with essentially all items answered “No” — the trustee has no actual knowledge of the property’s condition. The family owned the home since 1975; this is an estate-condition property. Your inspections are your only protection.</w:t>
      </w:r>
    </w:p>
    <w:p>
      <w:pPr>
        <w:spacing w:after="120"/>
      </w:pPr>
      <w:r>
        <w:rPr>
          <w:b/>
          <w:i w:val="0"/>
        </w:rPr>
        <w:t xml:space="preserve">Condition is materially deferred. </w:t>
      </w:r>
      <w:r>
        <w:rPr>
          <w:b w:val="0"/>
          <w:i w:val="0"/>
        </w:rPr>
        <w:t>Inspections document foundation cracking with settlement, an active master-shower leak with fungus damage ($16,780 rebuild), a pool with original plaster, patched shell cracks and a dead heater, a “fair” shake roof with 8–10 years of life remaining, dated 100-amp electrical with safety issues, rusted crawl-space ducting, and no air conditioning. Near-term repair exposure is roughly $45K–$80K before any roof replacement or foundation work.</w:t>
      </w:r>
    </w:p>
    <w:p>
      <w:pPr>
        <w:spacing w:after="120"/>
      </w:pPr>
      <w:r>
        <w:rPr>
          <w:b/>
          <w:i w:val="0"/>
        </w:rPr>
        <w:t xml:space="preserve">The flood issue is resolvable and favorable. </w:t>
      </w:r>
      <w:r>
        <w:rPr>
          <w:b w:val="0"/>
          <w:i w:val="0"/>
        </w:rPr>
        <w:t>The parcel edge along Hale Creek lies in FEMA Zone AE (Special Flood Hazard Area), but the dwelling itself sits in Zone X500 and is NOT in the SFHA per the FEMA determination — no mandatory flood insurance. See Section 1.</w:t>
      </w:r>
    </w:p>
    <w:p>
      <w:pPr>
        <w:spacing w:after="160"/>
      </w:pPr>
      <w:r>
        <w:rPr>
          <w:b/>
          <w:i w:val="0"/>
        </w:rPr>
        <w:t xml:space="preserve">Offer-process constraints are strict. </w:t>
      </w:r>
      <w:r>
        <w:rPr>
          <w:b w:val="0"/>
          <w:i w:val="0"/>
        </w:rPr>
        <w:t>Addendum #1 prohibits assignment and any pre-closing marketing of the property; a 3% EMD is due within one business day of acceptance; the Flood Determination Certificate must be signed and returned with the offer.</w:t>
      </w:r>
    </w:p>
    <w:p>
      <w:pPr>
        <w:pStyle w:val="Heading1"/>
      </w:pPr>
      <w:r>
        <w:t>1. The “Special Flood Zone” Question</w:t>
      </w:r>
    </w:p>
    <w:p>
      <w:pPr>
        <w:pStyle w:val="Heading2"/>
      </w:pPr>
      <w:r>
        <w:t>What “Special Flood Hazard Area” (SFHA) means</w:t>
      </w:r>
    </w:p>
    <w:p>
      <w:r>
        <w:rPr>
          <w:b w:val="0"/>
          <w:i w:val="0"/>
        </w:rPr>
        <w:t>The SFHA is FEMA’s term for high-risk flood zones — Zones containing the letters “A” or “V” on FEMA Flood Insurance Rate Maps (the “100-year floodplain,” i.e., a 1% annual chance of flooding). Practical consequences of being in an SFHA include mandatory flood insurance for federally backed mortgages, potential elevation-certificate requirements, FEMA building standards for substantial improvements, higher insurance costs, and resale friction.</w:t>
      </w:r>
    </w:p>
    <w:p>
      <w:pPr>
        <w:pStyle w:val="Heading2"/>
      </w:pPr>
      <w:r>
        <w:t>What the two disclosure documents say</w:t>
      </w:r>
    </w:p>
    <w:tbl>
      <w:tblPr>
        <w:tblStyle w:val="TableGrid"/>
        <w:tblW w:type="auto" w:w="0"/>
        <w:jc w:val="center"/>
        <w:tblLook w:firstColumn="1" w:firstRow="1" w:lastColumn="0" w:lastRow="0" w:noHBand="0" w:noVBand="1" w:val="04A0"/>
      </w:tblPr>
      <w:tblGrid>
        <w:gridCol w:w="4320"/>
        <w:gridCol w:w="4320"/>
      </w:tblGrid>
      <w:tr>
        <w:tc>
          <w:tcPr>
            <w:tcW w:type="dxa" w:w="4752"/>
            <w:shd w:val="clear" w:fill="1F3352"/>
          </w:tcPr>
          <w:p>
            <w:r/>
            <w:r>
              <w:rPr>
                <w:b/>
                <w:color w:val="FFFFFF"/>
                <w:sz w:val="20"/>
              </w:rPr>
              <w:t>Document</w:t>
            </w:r>
          </w:p>
        </w:tc>
        <w:tc>
          <w:tcPr>
            <w:tcW w:type="dxa" w:w="4896"/>
            <w:shd w:val="clear" w:fill="1F3352"/>
          </w:tcPr>
          <w:p>
            <w:r/>
            <w:r>
              <w:rPr>
                <w:b/>
                <w:color w:val="FFFFFF"/>
                <w:sz w:val="20"/>
              </w:rPr>
              <w:t>Determination</w:t>
            </w:r>
          </w:p>
        </w:tc>
      </w:tr>
      <w:tr>
        <w:tc>
          <w:tcPr>
            <w:tcW w:type="dxa" w:w="4752"/>
            <w:shd w:val="clear" w:fill="EDF1F7"/>
          </w:tcPr>
          <w:p>
            <w:r>
              <w:rPr>
                <w:sz w:val="20"/>
              </w:rPr>
              <w:t>NHD Report (JCP-LGS #3615154, dated 07/07/26)</w:t>
            </w:r>
          </w:p>
        </w:tc>
        <w:tc>
          <w:tcPr>
            <w:tcW w:type="dxa" w:w="4896"/>
            <w:shd w:val="clear" w:fill="EDF1F7"/>
          </w:tcPr>
          <w:p>
            <w:r>
              <w:rPr>
                <w:sz w:val="20"/>
              </w:rPr>
              <w:t>Property IN a Special Flood Hazard Area — Zone AE</w:t>
            </w:r>
          </w:p>
        </w:tc>
      </w:tr>
      <w:tr>
        <w:tc>
          <w:tcPr>
            <w:tcW w:type="dxa" w:w="4752"/>
          </w:tcPr>
          <w:p>
            <w:r>
              <w:rPr>
                <w:sz w:val="20"/>
              </w:rPr>
              <w:t>FEMA Flood Determination Certificate (SFHDF, CoreLogic FloodCert #2607180203, dated 07/07/26)</w:t>
            </w:r>
          </w:p>
        </w:tc>
        <w:tc>
          <w:tcPr>
            <w:tcW w:type="dxa" w:w="4896"/>
          </w:tcPr>
          <w:p>
            <w:r>
              <w:rPr>
                <w:sz w:val="20"/>
              </w:rPr>
              <w:t>Building NOT in SFHA — flood zone X500; FEMA panel 06085C 0201H (eff. 05/18/09); no LOMC</w:t>
            </w:r>
          </w:p>
        </w:tc>
      </w:tr>
    </w:tbl>
    <w:p>
      <w:pPr>
        <w:spacing w:after="40"/>
      </w:pPr>
    </w:p>
    <w:p>
      <w:pPr>
        <w:pStyle w:val="Heading2"/>
      </w:pPr>
      <w:r>
        <w:t>Resolution of the apparent contradiction</w:t>
      </w:r>
    </w:p>
    <w:p>
      <w:r>
        <w:rPr>
          <w:b w:val="0"/>
          <w:i w:val="0"/>
        </w:rPr>
        <w:t>The NHD reports “IN” if any portion of the parcel touches an SFHA. The lot backs to Hale Creek, and a strip of the parcel along the creek falls in Zone AE — confirmed by the title report’s creek exceptions and the Realist property profile (“Within 250 Feet of Multiple Flood Zone: Yes (Ae, X500)”). The dwelling itself sits in Zone X500 (moderate risk, between the 100- and 500-year flood levels), where flood insurance is optional.</w:t>
      </w:r>
    </w:p>
    <w:p>
      <w:pPr>
        <w:spacing w:after="160"/>
      </w:pPr>
      <w:r>
        <w:rPr>
          <w:b/>
          <w:i w:val="0"/>
          <w:color w:val="2E6B34"/>
        </w:rPr>
        <w:t xml:space="preserve">Bottom line: </w:t>
      </w:r>
      <w:r>
        <w:rPr>
          <w:b w:val="0"/>
          <w:i w:val="0"/>
        </w:rPr>
        <w:t>The parcel intersects an SFHA; the house does not. There is no mandatory flood insurance requirement. Flood coverage is still worth quoting given the creek adjacency, and the Offer Instructions require the buyer to read and sign the Flood Determination Certificate with the offer.</w:t>
      </w:r>
    </w:p>
    <w:p>
      <w:pPr>
        <w:pStyle w:val="Heading1"/>
      </w:pPr>
      <w:r>
        <w:t>2. The Big One: Trust Sale With No TDS</w:t>
      </w:r>
    </w:p>
    <w:p>
      <w:pPr>
        <w:pStyle w:val="ListBullet"/>
      </w:pPr>
      <w:r>
        <w:rPr>
          <w:b/>
          <w:i w:val="0"/>
        </w:rPr>
        <w:t xml:space="preserve">Ownership history: </w:t>
      </w:r>
      <w:r>
        <w:rPr>
          <w:b w:val="0"/>
          <w:i w:val="0"/>
        </w:rPr>
        <w:t>the Malmgren family bought the home in 1975 for $83,000. All subsequent transfers (1996, 2001, 2007 trustee’s deed, 2026 affidavit) were nominal intra-family trust transfers — a classic post-death trust administration sale. Tax bills go to the trustee’s Rancho Cordova, CA address.</w:t>
      </w:r>
    </w:p>
    <w:p>
      <w:pPr>
        <w:pStyle w:val="ListBullet"/>
      </w:pPr>
      <w:r>
        <w:rPr>
          <w:b/>
          <w:i w:val="0"/>
        </w:rPr>
        <w:t xml:space="preserve">Exempt Seller Disclosure: </w:t>
      </w:r>
      <w:r>
        <w:rPr>
          <w:b w:val="0"/>
          <w:i w:val="0"/>
        </w:rPr>
        <w:t>instead of a TDS, the trustee filed an Exempt Seller Disclosure (ESD). Every checkbox was decoded from the signed form: all items answered “No” (no deaths, no meth/controlled substances, no insurance claims, no title matters, no other material facts) except item J — “Yes”: non-compliant plumbing fixtures (“showers and faucets”).</w:t>
      </w:r>
    </w:p>
    <w:p>
      <w:pPr>
        <w:pStyle w:val="ListBullet"/>
      </w:pPr>
      <w:r>
        <w:rPr>
          <w:b/>
          <w:i w:val="0"/>
        </w:rPr>
        <w:t xml:space="preserve">Implication: </w:t>
      </w:r>
      <w:r>
        <w:rPr>
          <w:b w:val="0"/>
          <w:i w:val="0"/>
        </w:rPr>
        <w:t>the trustee likely never lived at the property and has no actual knowledge of its condition. You are buying on the strength of inspections alone. Do not waive inspection contingencies; treat every unknown (uninspected crawl space, unknown furnace, hidden plumbing) as priced-in risk.</w:t>
      </w:r>
    </w:p>
    <w:p>
      <w:pPr>
        <w:pStyle w:val="ListBullet"/>
      </w:pPr>
      <w:r>
        <w:rPr>
          <w:b/>
          <w:i w:val="0"/>
        </w:rPr>
        <w:t xml:space="preserve">Fixture retrofit: </w:t>
      </w:r>
      <w:r>
        <w:rPr>
          <w:b w:val="0"/>
          <w:i w:val="0"/>
        </w:rPr>
        <w:t>the Water-Conserving Fixtures Addendum confirms the BUYER is responsible for bringing pre-1994 plumbing fixtures up to water-conserving standards.</w:t>
      </w:r>
    </w:p>
    <w:p>
      <w:pPr>
        <w:pStyle w:val="Heading1"/>
      </w:pPr>
      <w:r>
        <w:t>3. Structural Concerns (Ranked by Severity)</w:t>
      </w:r>
    </w:p>
    <w:p>
      <w:pPr>
        <w:spacing w:after="120"/>
      </w:pPr>
      <w:r>
        <w:rPr>
          <w:b/>
          <w:i w:val="0"/>
          <w:color w:val="B02A1E"/>
        </w:rPr>
        <w:t xml:space="preserve">RED — Foundation movement. </w:t>
      </w:r>
      <w:r>
        <w:rPr>
          <w:b w:val="0"/>
          <w:i w:val="0"/>
        </w:rPr>
        <w:t>The home inspection (HomeGuard #681336, 07/24/26) flagged vertical foundation cracking indicating movement/settlement, with referral to a foundation contractor. Worse, the right/rear crawl space was NOT inspected (clearance under 16″), so the full extent of foundation, duct, and subfloor condition is unknown. Obtain a structural engineer’s evaluation (~$500–$800) during the contingency period — not just a free contractor quote, which carries a sales incentive.</w:t>
      </w:r>
    </w:p>
    <w:p>
      <w:pPr>
        <w:spacing w:after="120"/>
      </w:pPr>
      <w:r>
        <w:rPr>
          <w:b/>
          <w:i w:val="0"/>
          <w:color w:val="B02A1E"/>
        </w:rPr>
        <w:t xml:space="preserve">RED — Active master shower leak with fungus. </w:t>
      </w:r>
      <w:r>
        <w:rPr>
          <w:b w:val="0"/>
          <w:i w:val="0"/>
        </w:rPr>
        <w:t>Water testing revealed an active leak at the master stall shower; the pest report confirms associated fungus and prescribes full demolition/rebuild — new membrane, tile, and glass enclosure: $16,780 + permits. Subfloor surface fungus requires Timbor treatment ($395). Section 1 pest work totals $17,487 + permits (window trim fungus $312 is the remainder). No active termites found.</w:t>
      </w:r>
    </w:p>
    <w:p>
      <w:pPr>
        <w:spacing w:after="120"/>
      </w:pPr>
      <w:r>
        <w:rPr>
          <w:b/>
          <w:i w:val="0"/>
          <w:color w:val="C06A10"/>
        </w:rPr>
        <w:t xml:space="preserve">ORANGE — Roof at end-of-life horizon. </w:t>
      </w:r>
      <w:r>
        <w:rPr>
          <w:b w:val="0"/>
          <w:i w:val="0"/>
        </w:rPr>
        <w:t>Medium shake, condition “fair,” 8–10 years remaining life. Split/missing/burnt-through shakes, rotted ridge caps, exposed felt, slipping shakes, cracked solder joints in utility flashing (direct water entry), unsealed vent collars. Attic shows water stains consistent with these defects. Budget repairs now and a re-roof within the decade ($40K–$70K+ when it comes).</w:t>
      </w:r>
    </w:p>
    <w:p>
      <w:pPr>
        <w:spacing w:after="120"/>
      </w:pPr>
      <w:r>
        <w:rPr>
          <w:b/>
          <w:i w:val="0"/>
          <w:color w:val="C06A10"/>
        </w:rPr>
        <w:t xml:space="preserve">ORANGE — Pool is a money pit. </w:t>
      </w:r>
      <w:r>
        <w:rPr>
          <w:b w:val="0"/>
          <w:i w:val="0"/>
        </w:rPr>
        <w:t>Original plaster far past its 12–15 year life, heavily etched with plaster lifted exposing sharp concrete; cracks in steps and bottom previously epoxy-filled (patched, not fixed); heater non-functional; dead light with water in the fixture; light not on GFCI; equipment not copper-bonded; failed caulking. Itemized fixes ≈ $3,145, plus a replaster quote ($15K–$25K+) and unknown heater repair.</w:t>
      </w:r>
    </w:p>
    <w:p>
      <w:pPr>
        <w:spacing w:after="120"/>
      </w:pPr>
      <w:r>
        <w:rPr>
          <w:b/>
          <w:i w:val="0"/>
          <w:color w:val="C06A10"/>
        </w:rPr>
        <w:t xml:space="preserve">ORANGE — Dated, unsafe electrical. </w:t>
      </w:r>
      <w:r>
        <w:rPr>
          <w:b w:val="0"/>
          <w:i w:val="0"/>
        </w:rPr>
        <w:t>100-amp service / 125-amp panel, running splices in the attic, exposed garage wiring, ungrounded 3-prong outlets, abandoned wiring, mixed copper + aluminum conductors. Budget an electrician for safety items; a full panel/grounding upgrade is a likely future project.</w:t>
      </w:r>
    </w:p>
    <w:p>
      <w:pPr>
        <w:spacing w:after="160"/>
      </w:pPr>
      <w:r>
        <w:rPr>
          <w:b/>
          <w:i w:val="0"/>
          <w:color w:val="9A7D0A"/>
        </w:rPr>
        <w:t xml:space="preserve">YELLOW — Other findings. </w:t>
      </w:r>
      <w:r>
        <w:rPr>
          <w:b w:val="0"/>
          <w:i w:val="0"/>
        </w:rPr>
        <w:t>Severe rust on crawl-space heating ducting; no A/C and furnace condition unknown/inaccessible; water heater ~7 years old with no seismic gas shutoff; wood-to-soil siding contact; garage-house door missing self-closer (fire separation); evidence of vermin in garage; seized garbage disposal; only 4–6″ of attic insulation; both fireplaces lack code-required caps/spark arrestors and one damper is stuck open.</w:t>
      </w:r>
    </w:p>
    <w:p>
      <w:pPr>
        <w:pStyle w:val="Heading1"/>
      </w:pPr>
      <w:r>
        <w:t>4. Environmental Hazards</w:t>
      </w:r>
    </w:p>
    <w:tbl>
      <w:tblPr>
        <w:tblStyle w:val="TableGrid"/>
        <w:tblW w:type="auto" w:w="0"/>
        <w:jc w:val="center"/>
        <w:tblLook w:firstColumn="1" w:firstRow="1" w:lastColumn="0" w:lastRow="0" w:noHBand="0" w:noVBand="1" w:val="04A0"/>
      </w:tblPr>
      <w:tblGrid>
        <w:gridCol w:w="4320"/>
        <w:gridCol w:w="4320"/>
      </w:tblGrid>
      <w:tr>
        <w:tc>
          <w:tcPr>
            <w:tcW w:type="dxa" w:w="3168"/>
            <w:shd w:val="clear" w:fill="1F3352"/>
          </w:tcPr>
          <w:p>
            <w:r/>
            <w:r>
              <w:rPr>
                <w:b/>
                <w:color w:val="FFFFFF"/>
                <w:sz w:val="20"/>
              </w:rPr>
              <w:t>Hazard</w:t>
            </w:r>
          </w:p>
        </w:tc>
        <w:tc>
          <w:tcPr>
            <w:tcW w:type="dxa" w:w="6480"/>
            <w:shd w:val="clear" w:fill="1F3352"/>
          </w:tcPr>
          <w:p>
            <w:r/>
            <w:r>
              <w:rPr>
                <w:b/>
                <w:color w:val="FFFFFF"/>
                <w:sz w:val="20"/>
              </w:rPr>
              <w:t>Status</w:t>
            </w:r>
          </w:p>
        </w:tc>
      </w:tr>
      <w:tr>
        <w:tc>
          <w:tcPr>
            <w:tcW w:type="dxa" w:w="3168"/>
            <w:shd w:val="clear" w:fill="EDF1F7"/>
          </w:tcPr>
          <w:p>
            <w:r>
              <w:rPr>
                <w:sz w:val="20"/>
              </w:rPr>
              <w:t>Flood (SFHA)</w:t>
            </w:r>
          </w:p>
        </w:tc>
        <w:tc>
          <w:tcPr>
            <w:tcW w:type="dxa" w:w="6480"/>
            <w:shd w:val="clear" w:fill="EDF1F7"/>
          </w:tcPr>
          <w:p>
            <w:r>
              <w:rPr>
                <w:sz w:val="20"/>
              </w:rPr>
              <w:t>Parcel edge in Zone AE along Hale Creek; house in Zone X500 — insurance optional (Section 1)</w:t>
            </w:r>
          </w:p>
        </w:tc>
      </w:tr>
      <w:tr>
        <w:tc>
          <w:tcPr>
            <w:tcW w:type="dxa" w:w="3168"/>
          </w:tcPr>
          <w:p>
            <w:r>
              <w:rPr>
                <w:sz w:val="20"/>
              </w:rPr>
              <w:t>Seismic liquefaction</w:t>
            </w:r>
          </w:p>
        </w:tc>
        <w:tc>
          <w:tcPr>
            <w:tcW w:type="dxa" w:w="6480"/>
          </w:tcPr>
          <w:p>
            <w:r>
              <w:rPr>
                <w:sz w:val="20"/>
              </w:rPr>
              <w:t>YES — mapped Seismic Hazard (Liquefaction) Zone per the NHD. Relevant to insurance, future rebuild standards, and major foundation/ADU work</w:t>
            </w:r>
          </w:p>
        </w:tc>
      </w:tr>
      <w:tr>
        <w:tc>
          <w:tcPr>
            <w:tcW w:type="dxa" w:w="3168"/>
            <w:shd w:val="clear" w:fill="EDF1F7"/>
          </w:tcPr>
          <w:p>
            <w:r>
              <w:rPr>
                <w:sz w:val="20"/>
              </w:rPr>
              <w:t>Earthquake fault zone (Alquist-Priolo)</w:t>
            </w:r>
          </w:p>
        </w:tc>
        <w:tc>
          <w:tcPr>
            <w:tcW w:type="dxa" w:w="6480"/>
            <w:shd w:val="clear" w:fill="EDF1F7"/>
          </w:tcPr>
          <w:p>
            <w:r>
              <w:rPr>
                <w:sz w:val="20"/>
              </w:rPr>
              <w:t>No</w:t>
            </w:r>
          </w:p>
        </w:tc>
      </w:tr>
      <w:tr>
        <w:tc>
          <w:tcPr>
            <w:tcW w:type="dxa" w:w="3168"/>
          </w:tcPr>
          <w:p>
            <w:r>
              <w:rPr>
                <w:sz w:val="20"/>
              </w:rPr>
              <w:t>Dam inundation</w:t>
            </w:r>
          </w:p>
        </w:tc>
        <w:tc>
          <w:tcPr>
            <w:tcW w:type="dxa" w:w="6480"/>
          </w:tcPr>
          <w:p>
            <w:r>
              <w:rPr>
                <w:sz w:val="20"/>
              </w:rPr>
              <w:t>No</w:t>
            </w:r>
          </w:p>
        </w:tc>
      </w:tr>
      <w:tr>
        <w:tc>
          <w:tcPr>
            <w:tcW w:type="dxa" w:w="3168"/>
            <w:shd w:val="clear" w:fill="EDF1F7"/>
          </w:tcPr>
          <w:p>
            <w:r>
              <w:rPr>
                <w:sz w:val="20"/>
              </w:rPr>
              <w:t>Fire hazard severity zone / wildland</w:t>
            </w:r>
          </w:p>
        </w:tc>
        <w:tc>
          <w:tcPr>
            <w:tcW w:type="dxa" w:w="6480"/>
            <w:shd w:val="clear" w:fill="EDF1F7"/>
          </w:tcPr>
          <w:p>
            <w:r>
              <w:rPr>
                <w:sz w:val="20"/>
              </w:rPr>
              <w:t>No</w:t>
            </w:r>
          </w:p>
        </w:tc>
      </w:tr>
      <w:tr>
        <w:tc>
          <w:tcPr>
            <w:tcW w:type="dxa" w:w="3168"/>
          </w:tcPr>
          <w:p>
            <w:r>
              <w:rPr>
                <w:sz w:val="20"/>
              </w:rPr>
              <w:t>Lead-based paint</w:t>
            </w:r>
          </w:p>
        </w:tc>
        <w:tc>
          <w:tcPr>
            <w:tcW w:type="dxa" w:w="6480"/>
          </w:tcPr>
          <w:p>
            <w:r>
              <w:rPr>
                <w:sz w:val="20"/>
              </w:rPr>
              <w:t>Built 1955 — presumed present; seller knowledge: “None,” no records. Buyer retains a 10-day lead inspection right — preserve it</w:t>
            </w:r>
          </w:p>
        </w:tc>
      </w:tr>
      <w:tr>
        <w:tc>
          <w:tcPr>
            <w:tcW w:type="dxa" w:w="3168"/>
            <w:shd w:val="clear" w:fill="EDF1F7"/>
          </w:tcPr>
          <w:p>
            <w:r>
              <w:rPr>
                <w:sz w:val="20"/>
              </w:rPr>
              <w:t>Asbestos</w:t>
            </w:r>
          </w:p>
        </w:tc>
        <w:tc>
          <w:tcPr>
            <w:tcW w:type="dxa" w:w="6480"/>
            <w:shd w:val="clear" w:fill="EDF1F7"/>
          </w:tcPr>
          <w:p>
            <w:r>
              <w:rPr>
                <w:sz w:val="20"/>
              </w:rPr>
              <w:t>1955 construction — likely in duct wrap, flooring, pipe insulation; not tested. Any renovation will require testing</w:t>
            </w:r>
          </w:p>
        </w:tc>
      </w:tr>
      <w:tr>
        <w:tc>
          <w:tcPr>
            <w:tcW w:type="dxa" w:w="3168"/>
          </w:tcPr>
          <w:p>
            <w:r>
              <w:rPr>
                <w:sz w:val="20"/>
              </w:rPr>
              <w:t>Meth / controlled substances</w:t>
            </w:r>
          </w:p>
        </w:tc>
        <w:tc>
          <w:tcPr>
            <w:tcW w:type="dxa" w:w="6480"/>
          </w:tcPr>
          <w:p>
            <w:r>
              <w:rPr>
                <w:sz w:val="20"/>
              </w:rPr>
              <w:t>Seller: No</w:t>
            </w:r>
          </w:p>
        </w:tc>
      </w:tr>
      <w:tr>
        <w:tc>
          <w:tcPr>
            <w:tcW w:type="dxa" w:w="3168"/>
            <w:shd w:val="clear" w:fill="EDF1F7"/>
          </w:tcPr>
          <w:p>
            <w:r>
              <w:rPr>
                <w:sz w:val="20"/>
              </w:rPr>
              <w:t>Hale Creek adjacency</w:t>
            </w:r>
          </w:p>
        </w:tc>
        <w:tc>
          <w:tcPr>
            <w:tcW w:type="dxa" w:w="6480"/>
            <w:shd w:val="clear" w:fill="EDF1F7"/>
          </w:tcPr>
          <w:p>
            <w:r>
              <w:rPr>
                <w:sz w:val="20"/>
              </w:rPr>
              <w:t>Title exceptions carve out possible high-water-mark/accretion claims and navigation/fishery rights beneath the creek — confirm what title insures over</w:t>
            </w:r>
          </w:p>
        </w:tc>
      </w:tr>
    </w:tbl>
    <w:p>
      <w:pPr>
        <w:spacing w:after="40"/>
      </w:pPr>
    </w:p>
    <w:p>
      <w:pPr>
        <w:spacing w:after="160"/>
      </w:pPr>
      <w:r>
        <w:rPr>
          <w:b w:val="0"/>
          <w:i/>
        </w:rPr>
        <w:t>The San Mateo / Santa Clara Counties Advisory cautions that any structure or improvement “may have been built without permits, not according to building codes, or in violation of zoning laws.” With 51 years of family ownership and no permit records produced, verify permit history with the City of Los Altos directly — especially for the pool and any additions.</w:t>
      </w:r>
    </w:p>
    <w:p>
      <w:pPr>
        <w:pStyle w:val="Heading1"/>
      </w:pPr>
      <w:r>
        <w:t>5. Legal Restrictions &amp; Title Facts</w:t>
      </w:r>
    </w:p>
    <w:p>
      <w:pPr>
        <w:spacing w:after="80"/>
      </w:pPr>
      <w:r>
        <w:rPr>
          <w:b w:val="0"/>
          <w:i w:val="0"/>
        </w:rPr>
        <w:t>From the Preliminary Title Report (Chicago Title #FWPS-2999260604A, dated 07/10/26):</w:t>
      </w:r>
    </w:p>
    <w:p>
      <w:pPr>
        <w:pStyle w:val="ListBullet"/>
      </w:pPr>
      <w:r>
        <w:rPr>
          <w:b/>
          <w:i w:val="0"/>
        </w:rPr>
        <w:t xml:space="preserve">Clean equity position: </w:t>
      </w:r>
      <w:r>
        <w:rPr>
          <w:b w:val="0"/>
          <w:i w:val="0"/>
        </w:rPr>
        <w:t>no open mortgages or deeds of trust — unencumbered fee title, which reduces closing complexity.</w:t>
      </w:r>
    </w:p>
    <w:p>
      <w:pPr>
        <w:pStyle w:val="ListBullet"/>
      </w:pPr>
      <w:r>
        <w:rPr>
          <w:b/>
          <w:i w:val="0"/>
        </w:rPr>
        <w:t xml:space="preserve">CC&amp;Rs: </w:t>
      </w:r>
      <w:r>
        <w:rPr>
          <w:b w:val="0"/>
          <w:i w:val="0"/>
        </w:rPr>
        <w:t>Los Altos Rancho tract CC&amp;Rs dated 11/12/1947 plus a modification recorded 09/27/2024. Read both before assuming what can be built (setbacks, second-story bulk planes, ADU limitations).</w:t>
      </w:r>
    </w:p>
    <w:p>
      <w:pPr>
        <w:pStyle w:val="ListBullet"/>
      </w:pPr>
      <w:r>
        <w:rPr>
          <w:b/>
          <w:i w:val="0"/>
        </w:rPr>
        <w:t xml:space="preserve">Easements: </w:t>
      </w:r>
      <w:r>
        <w:rPr>
          <w:b w:val="0"/>
          <w:i w:val="0"/>
        </w:rPr>
        <w:t>PG&amp;E/telephone 1.5-ft strip; City storm-sewer 5-ft strip (1970). Do not plan permanent structures over them.</w:t>
      </w:r>
    </w:p>
    <w:p>
      <w:pPr>
        <w:pStyle w:val="ListBullet"/>
      </w:pPr>
      <w:r>
        <w:rPr>
          <w:b/>
          <w:i w:val="0"/>
        </w:rPr>
        <w:t xml:space="preserve">Trust mechanics: </w:t>
      </w:r>
      <w:r>
        <w:rPr>
          <w:b w:val="0"/>
          <w:i w:val="0"/>
        </w:rPr>
        <w:t>title will require a valid trust certification and successor-trustee documentation before closing; have escrow confirm trustee authority early.</w:t>
      </w:r>
    </w:p>
    <w:p>
      <w:pPr>
        <w:pStyle w:val="Heading1"/>
      </w:pPr>
      <w:r>
        <w:t>6. Contract / Process Red Flags in the Offer Requirements</w:t>
      </w:r>
    </w:p>
    <w:p>
      <w:pPr>
        <w:spacing w:after="80"/>
      </w:pPr>
      <w:r>
        <w:rPr>
          <w:b w:val="0"/>
          <w:i w:val="0"/>
        </w:rPr>
        <w:t>From Addendum #1 and the Offer Instructions:</w:t>
      </w:r>
    </w:p>
    <w:p>
      <w:pPr>
        <w:pStyle w:val="ListBullet"/>
      </w:pPr>
      <w:r>
        <w:rPr>
          <w:b/>
          <w:i w:val="0"/>
        </w:rPr>
        <w:t xml:space="preserve">No assignment: </w:t>
      </w:r>
      <w:r>
        <w:rPr>
          <w:b w:val="0"/>
          <w:i w:val="0"/>
        </w:rPr>
        <w:t>buyer may not assign, transfer, or delegate any rights under the agreement — seller’s consent expressly withheld. Mark “0” days on RPA page 2 ¶K. Kills any flip/wholesale strategy.</w:t>
      </w:r>
    </w:p>
    <w:p>
      <w:pPr>
        <w:pStyle w:val="ListBullet"/>
      </w:pPr>
      <w:r>
        <w:rPr>
          <w:b/>
          <w:i w:val="0"/>
        </w:rPr>
        <w:t xml:space="preserve">No marketing before close: </w:t>
      </w:r>
      <w:r>
        <w:rPr>
          <w:b w:val="0"/>
          <w:i w:val="0"/>
        </w:rPr>
        <w:t>no advertising or promotion of the property or the agreement (MLS, social media, investor networks) before Close of Escrow.</w:t>
      </w:r>
    </w:p>
    <w:p>
      <w:pPr>
        <w:pStyle w:val="ListBullet"/>
      </w:pPr>
      <w:r>
        <w:rPr>
          <w:b/>
          <w:i w:val="0"/>
        </w:rPr>
        <w:t xml:space="preserve">EMD: </w:t>
      </w:r>
      <w:r>
        <w:rPr>
          <w:b w:val="0"/>
          <w:i w:val="0"/>
        </w:rPr>
        <w:t>3% initial deposit wired within 1 business day of acceptance.</w:t>
      </w:r>
    </w:p>
    <w:p>
      <w:pPr>
        <w:pStyle w:val="ListBullet"/>
      </w:pPr>
      <w:r>
        <w:rPr>
          <w:b/>
          <w:i w:val="0"/>
        </w:rPr>
        <w:t xml:space="preserve">Submission package: </w:t>
      </w:r>
      <w:r>
        <w:rPr>
          <w:b w:val="0"/>
          <w:i w:val="0"/>
        </w:rPr>
        <w:t>offer must include signed disclosure signature pages, loan pre-approval / proof of funds, the AVID, Addendum #1, and the signed Flood Determination Certificate. “No Buyer Letter Please.”</w:t>
      </w:r>
    </w:p>
    <w:p>
      <w:pPr>
        <w:pStyle w:val="Heading1"/>
      </w:pPr>
      <w:r>
        <w:t>7. Repair Budget Reality Check</w:t>
      </w:r>
    </w:p>
    <w:tbl>
      <w:tblPr>
        <w:tblStyle w:val="TableGrid"/>
        <w:tblW w:type="auto" w:w="0"/>
        <w:jc w:val="center"/>
        <w:tblLook w:firstColumn="1" w:firstRow="1" w:lastColumn="0" w:lastRow="0" w:noHBand="0" w:noVBand="1" w:val="04A0"/>
      </w:tblPr>
      <w:tblGrid>
        <w:gridCol w:w="4320"/>
        <w:gridCol w:w="4320"/>
      </w:tblGrid>
      <w:tr>
        <w:tc>
          <w:tcPr>
            <w:tcW w:type="dxa" w:w="6048"/>
            <w:shd w:val="clear" w:fill="1F3352"/>
          </w:tcPr>
          <w:p>
            <w:r/>
            <w:r>
              <w:rPr>
                <w:b/>
                <w:color w:val="FFFFFF"/>
                <w:sz w:val="20"/>
              </w:rPr>
              <w:t>Item</w:t>
            </w:r>
          </w:p>
        </w:tc>
        <w:tc>
          <w:tcPr>
            <w:tcW w:type="dxa" w:w="3600"/>
            <w:shd w:val="clear" w:fill="1F3352"/>
          </w:tcPr>
          <w:p>
            <w:r/>
            <w:r>
              <w:rPr>
                <w:b/>
                <w:color w:val="FFFFFF"/>
                <w:sz w:val="20"/>
              </w:rPr>
              <w:t>Estimated Cost</w:t>
            </w:r>
          </w:p>
        </w:tc>
      </w:tr>
      <w:tr>
        <w:tc>
          <w:tcPr>
            <w:tcW w:type="dxa" w:w="6048"/>
            <w:shd w:val="clear" w:fill="EDF1F7"/>
          </w:tcPr>
          <w:p>
            <w:r>
              <w:rPr>
                <w:sz w:val="20"/>
              </w:rPr>
              <w:t>Pest Section 1 (shower rebuild, fungus treatments)</w:t>
            </w:r>
          </w:p>
        </w:tc>
        <w:tc>
          <w:tcPr>
            <w:tcW w:type="dxa" w:w="3600"/>
            <w:shd w:val="clear" w:fill="EDF1F7"/>
          </w:tcPr>
          <w:p>
            <w:r>
              <w:rPr>
                <w:sz w:val="20"/>
              </w:rPr>
              <w:t>$17,487 + permits</w:t>
            </w:r>
          </w:p>
        </w:tc>
      </w:tr>
      <w:tr>
        <w:tc>
          <w:tcPr>
            <w:tcW w:type="dxa" w:w="6048"/>
          </w:tcPr>
          <w:p>
            <w:r>
              <w:rPr>
                <w:sz w:val="20"/>
              </w:rPr>
              <w:t>Pool itemized repairs</w:t>
            </w:r>
          </w:p>
        </w:tc>
        <w:tc>
          <w:tcPr>
            <w:tcW w:type="dxa" w:w="3600"/>
          </w:tcPr>
          <w:p>
            <w:r>
              <w:rPr>
                <w:sz w:val="20"/>
              </w:rPr>
              <w:t>~$3,145</w:t>
            </w:r>
          </w:p>
        </w:tc>
      </w:tr>
      <w:tr>
        <w:tc>
          <w:tcPr>
            <w:tcW w:type="dxa" w:w="6048"/>
            <w:shd w:val="clear" w:fill="EDF1F7"/>
          </w:tcPr>
          <w:p>
            <w:r>
              <w:rPr>
                <w:sz w:val="20"/>
              </w:rPr>
              <w:t>Pool replaster (quoted separately)</w:t>
            </w:r>
          </w:p>
        </w:tc>
        <w:tc>
          <w:tcPr>
            <w:tcW w:type="dxa" w:w="3600"/>
            <w:shd w:val="clear" w:fill="EDF1F7"/>
          </w:tcPr>
          <w:p>
            <w:r>
              <w:rPr>
                <w:sz w:val="20"/>
              </w:rPr>
              <w:t>$15,000–$25,000 est.</w:t>
            </w:r>
          </w:p>
        </w:tc>
      </w:tr>
      <w:tr>
        <w:tc>
          <w:tcPr>
            <w:tcW w:type="dxa" w:w="6048"/>
          </w:tcPr>
          <w:p>
            <w:r>
              <w:rPr>
                <w:sz w:val="20"/>
              </w:rPr>
              <w:t>Roof repairs now / re-roof in 8–10 yrs</w:t>
            </w:r>
          </w:p>
        </w:tc>
        <w:tc>
          <w:tcPr>
            <w:tcW w:type="dxa" w:w="3600"/>
          </w:tcPr>
          <w:p>
            <w:r>
              <w:rPr>
                <w:sz w:val="20"/>
              </w:rPr>
              <w:t>$3K–$10K now / $40K–$70K+ later</w:t>
            </w:r>
          </w:p>
        </w:tc>
      </w:tr>
      <w:tr>
        <w:tc>
          <w:tcPr>
            <w:tcW w:type="dxa" w:w="6048"/>
            <w:shd w:val="clear" w:fill="EDF1F7"/>
          </w:tcPr>
          <w:p>
            <w:r>
              <w:rPr>
                <w:sz w:val="20"/>
              </w:rPr>
              <w:t>Foundation engineering + potential repair</w:t>
            </w:r>
          </w:p>
        </w:tc>
        <w:tc>
          <w:tcPr>
            <w:tcW w:type="dxa" w:w="3600"/>
            <w:shd w:val="clear" w:fill="EDF1F7"/>
          </w:tcPr>
          <w:p>
            <w:r>
              <w:rPr>
                <w:sz w:val="20"/>
              </w:rPr>
              <w:t>$500 eval; unknown scope</w:t>
            </w:r>
          </w:p>
        </w:tc>
      </w:tr>
      <w:tr>
        <w:tc>
          <w:tcPr>
            <w:tcW w:type="dxa" w:w="6048"/>
          </w:tcPr>
          <w:p>
            <w:r>
              <w:rPr>
                <w:sz w:val="20"/>
              </w:rPr>
              <w:t>Electrical safety remediation</w:t>
            </w:r>
          </w:p>
        </w:tc>
        <w:tc>
          <w:tcPr>
            <w:tcW w:type="dxa" w:w="3600"/>
          </w:tcPr>
          <w:p>
            <w:r>
              <w:rPr>
                <w:sz w:val="20"/>
              </w:rPr>
              <w:t>$2,000–$8,000+</w:t>
            </w:r>
          </w:p>
        </w:tc>
      </w:tr>
      <w:tr>
        <w:tc>
          <w:tcPr>
            <w:tcW w:type="dxa" w:w="6048"/>
            <w:shd w:val="clear" w:fill="EDF1F7"/>
          </w:tcPr>
          <w:p>
            <w:r>
              <w:rPr>
                <w:sz w:val="20"/>
              </w:rPr>
              <w:t>Pool Safety Act compliance (≥2 drowning-prevention features)</w:t>
            </w:r>
          </w:p>
        </w:tc>
        <w:tc>
          <w:tcPr>
            <w:tcW w:type="dxa" w:w="3600"/>
            <w:shd w:val="clear" w:fill="EDF1F7"/>
          </w:tcPr>
          <w:p>
            <w:r>
              <w:rPr>
                <w:sz w:val="20"/>
              </w:rPr>
              <w:t>$1,500–$4,000</w:t>
            </w:r>
          </w:p>
        </w:tc>
      </w:tr>
      <w:tr>
        <w:tc>
          <w:tcPr>
            <w:tcW w:type="dxa" w:w="6048"/>
          </w:tcPr>
          <w:p>
            <w:r>
              <w:rPr>
                <w:sz w:val="20"/>
              </w:rPr>
              <w:t>Plumbing fixture retrofit (buyer’s obligation)</w:t>
            </w:r>
          </w:p>
        </w:tc>
        <w:tc>
          <w:tcPr>
            <w:tcW w:type="dxa" w:w="3600"/>
          </w:tcPr>
          <w:p>
            <w:r>
              <w:rPr>
                <w:sz w:val="20"/>
              </w:rPr>
              <w:t>$1,000–$3,000</w:t>
            </w:r>
          </w:p>
        </w:tc>
      </w:tr>
      <w:tr>
        <w:tc>
          <w:tcPr>
            <w:tcW w:type="dxa" w:w="6048"/>
            <w:shd w:val="clear" w:fill="EDF1F7"/>
          </w:tcPr>
          <w:p>
            <w:r>
              <w:rPr>
                <w:sz w:val="20"/>
              </w:rPr>
              <w:t>Ducting, water heater strapping, chimney caps, misc.</w:t>
            </w:r>
          </w:p>
        </w:tc>
        <w:tc>
          <w:tcPr>
            <w:tcW w:type="dxa" w:w="3600"/>
            <w:shd w:val="clear" w:fill="EDF1F7"/>
          </w:tcPr>
          <w:p>
            <w:r>
              <w:rPr>
                <w:sz w:val="20"/>
              </w:rPr>
              <w:t>$2,000–$5,000</w:t>
            </w:r>
          </w:p>
        </w:tc>
      </w:tr>
      <w:tr>
        <w:tc>
          <w:tcPr>
            <w:tcW w:type="dxa" w:w="6048"/>
          </w:tcPr>
          <w:p>
            <w:r>
              <w:rPr>
                <w:sz w:val="20"/>
              </w:rPr>
              <w:t>Near-term total (excl. roof replacement &amp; foundation)</w:t>
            </w:r>
          </w:p>
        </w:tc>
        <w:tc>
          <w:tcPr>
            <w:tcW w:type="dxa" w:w="3600"/>
          </w:tcPr>
          <w:p>
            <w:r>
              <w:rPr>
                <w:sz w:val="20"/>
              </w:rPr>
              <w:t>≈ $45,000–$80,000</w:t>
            </w:r>
          </w:p>
        </w:tc>
      </w:tr>
    </w:tbl>
    <w:p>
      <w:pPr>
        <w:spacing w:after="40"/>
      </w:pPr>
    </w:p>
    <w:p>
      <w:pPr>
        <w:pStyle w:val="Heading1"/>
      </w:pPr>
      <w:r>
        <w:t>8. Bottom Line for the Purchase Decision</w:t>
      </w:r>
    </w:p>
    <w:p>
      <w:pPr>
        <w:spacing w:after="80"/>
      </w:pPr>
      <w:r>
        <w:rPr>
          <w:b w:val="0"/>
          <w:i w:val="0"/>
        </w:rPr>
        <w:t>None of this is fatal — this is a classic 1955 estate-condition home on a premium Los Altos lot. But the disclosures paint a consistent picture:</w:t>
      </w:r>
    </w:p>
    <w:p>
      <w:pPr>
        <w:pStyle w:val="ListBullet"/>
      </w:pPr>
      <w:r>
        <w:rPr>
          <w:b/>
          <w:i w:val="0"/>
        </w:rPr>
        <w:t xml:space="preserve">1. You are buying blind on seller knowledge. </w:t>
      </w:r>
      <w:r>
        <w:rPr>
          <w:b w:val="0"/>
          <w:i w:val="0"/>
        </w:rPr>
        <w:t>ESD with all-“No” answers from a trustee who didn’t live there, plus an uninspected crawl space, means your inspections are your only protection. Keep every contingency and do not shorten the 10-day lead-paint window.</w:t>
      </w:r>
    </w:p>
    <w:p>
      <w:pPr>
        <w:pStyle w:val="ListBullet"/>
      </w:pPr>
      <w:r>
        <w:rPr>
          <w:b/>
          <w:i w:val="0"/>
        </w:rPr>
        <w:t xml:space="preserve">2. Flood is a paperwork issue, not a practical one. </w:t>
      </w:r>
      <w:r>
        <w:rPr>
          <w:b w:val="0"/>
          <w:i w:val="0"/>
        </w:rPr>
        <w:t>the house sits in Zone X500 with no mandatory flood insurance, but sign the Flood Certificate with the offer and consider optional coverage given Hale Creek adjacency.</w:t>
      </w:r>
    </w:p>
    <w:p>
      <w:pPr>
        <w:pStyle w:val="ListBullet"/>
      </w:pPr>
      <w:r>
        <w:rPr>
          <w:b/>
          <w:i w:val="0"/>
        </w:rPr>
        <w:t xml:space="preserve">3. The liquefaction + foundation combination is the item to chase first. </w:t>
      </w:r>
      <w:r>
        <w:rPr>
          <w:b w:val="0"/>
          <w:i w:val="0"/>
        </w:rPr>
        <w:t>liquefaction-zone designation plus observed foundation cracking warrants a structural engineer before removing contingencies — it is the one open-ended cost item.</w:t>
      </w:r>
    </w:p>
    <w:p>
      <w:pPr>
        <w:pStyle w:val="ListBullet"/>
      </w:pPr>
      <w:r>
        <w:rPr>
          <w:b/>
          <w:i w:val="0"/>
        </w:rPr>
        <w:t xml:space="preserve">4. Price the deferred maintenance into the bid. </w:t>
      </w:r>
      <w:r>
        <w:rPr>
          <w:b w:val="0"/>
          <w:i w:val="0"/>
        </w:rPr>
        <w:t>with roughly $45K–$80K of near-term deferred maintenance on top of list price, there is factual grounding to stay at or near the ~$4,050,000 bid from the comparable-sales analysis rather than chasing well above it in competition.</w:t>
      </w:r>
    </w:p>
    <w:p>
      <w:pPr>
        <w:pStyle w:val="ListBullet"/>
      </w:pPr>
      <w:r>
        <w:rPr>
          <w:b/>
          <w:i w:val="0"/>
        </w:rPr>
        <w:t xml:space="preserve">5. Before submitting: </w:t>
      </w:r>
      <w:r>
        <w:rPr>
          <w:b w:val="0"/>
          <w:i w:val="0"/>
        </w:rPr>
        <w:t>pull City of Los Altos permit history for the pool and any additions, read the 1947 CC&amp;Rs plus the 2024 modification, and have the lender quote optional flood insurance.</w:t>
      </w:r>
    </w:p>
    <w:p/>
    <w:p>
      <w:r>
        <w:rPr>
          <w:b w:val="0"/>
          <w:i/>
          <w:color w:val="555555"/>
          <w:sz w:val="18"/>
        </w:rPr>
        <w:t>Sources: Coversheet; Offer Instructions; Disclosure Package (78 pp, incl. ESD, AVID, Addendum #1, LPD, Trust Advisory, Realist/Chicago Title property profiles, Statewide and County advisories); Flood Determination Certificate; Home, Pest, Roof, Chimney, and Pool inspection reports; Preliminary Title Report; Natural Hazard Disclosure Report.</w:t>
      </w:r>
    </w:p>
    <w:p>
      <w:r>
        <w:rPr>
          <w:b w:val="0"/>
          <w:i/>
          <w:color w:val="555555"/>
          <w:sz w:val="18"/>
        </w:rPr>
        <w:t>This document is a due-diligence summary for informational purposes only and is not legal, tax, or engineering advice. Consult appropriate licensed professionals before acting.</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1F3352"/>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1F3352"/>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libri" w:hAnsi="Calibri"/>
      <w:b/>
      <w:bCs/>
      <w:color w:val="1F3352"/>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